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001C" w14:textId="77777777" w:rsidR="00B0518F" w:rsidRPr="006B2C83" w:rsidRDefault="00B0518F" w:rsidP="006B2C83">
      <w:pPr>
        <w:jc w:val="center"/>
        <w:rPr>
          <w:b/>
          <w:bCs/>
          <w:sz w:val="28"/>
          <w:szCs w:val="28"/>
        </w:rPr>
      </w:pPr>
      <w:r w:rsidRPr="006B2C83">
        <w:rPr>
          <w:b/>
          <w:bCs/>
          <w:sz w:val="28"/>
          <w:szCs w:val="28"/>
        </w:rPr>
        <w:t>Thỏa thuận chuyển giao dữ liệu cá nhân</w:t>
      </w:r>
    </w:p>
    <w:p w14:paraId="2780EAAC" w14:textId="77777777" w:rsidR="00B0518F" w:rsidRPr="00B0518F" w:rsidRDefault="00B0518F" w:rsidP="006B2C83">
      <w:pPr>
        <w:jc w:val="both"/>
      </w:pPr>
      <w:r w:rsidRPr="00B0518F">
        <w:t xml:space="preserve">Thỏa thuận chuyển giao dữ liệu cá nhân này (sau đây gọi tắt là </w:t>
      </w:r>
      <w:r w:rsidRPr="00B0518F">
        <w:rPr>
          <w:b/>
          <w:bCs/>
        </w:rPr>
        <w:t>“Thỏa thuận”</w:t>
      </w:r>
      <w:r w:rsidRPr="00B0518F">
        <w:t>) được xác lập bởi Bạn - người xác nhận đồng ý dưới đây (“</w:t>
      </w:r>
      <w:r w:rsidRPr="00B0518F">
        <w:rPr>
          <w:b/>
          <w:bCs/>
        </w:rPr>
        <w:t>Bên Nhận Chuyển Giao</w:t>
      </w:r>
      <w:r w:rsidRPr="00B0518F">
        <w:t>”) và Công ty cổ phần PropertyGuru Việt Nam (“</w:t>
      </w:r>
      <w:r w:rsidRPr="00B0518F">
        <w:rPr>
          <w:b/>
          <w:bCs/>
        </w:rPr>
        <w:t>PGVN</w:t>
      </w:r>
      <w:r w:rsidRPr="00B0518F">
        <w:t>”) chủ sở hữu hợp pháp của nền tảng Batdongsan.com.vn (“</w:t>
      </w:r>
      <w:r w:rsidRPr="00B0518F">
        <w:rPr>
          <w:b/>
          <w:bCs/>
        </w:rPr>
        <w:t>Nền tảng</w:t>
      </w:r>
      <w:r w:rsidRPr="00B0518F">
        <w:t>”) trên cơ sở tuân thủ các quy định của pháp luật Việt Nam về bảo vệ dữ liệu cá nhân với các điều kiện và điều khoản cụ thể như sau:</w:t>
      </w:r>
    </w:p>
    <w:p w14:paraId="17B788AF" w14:textId="77777777" w:rsidR="00B0518F" w:rsidRPr="00B0518F" w:rsidRDefault="00B0518F" w:rsidP="006B2C83">
      <w:pPr>
        <w:jc w:val="both"/>
        <w:rPr>
          <w:b/>
          <w:bCs/>
        </w:rPr>
      </w:pPr>
      <w:r w:rsidRPr="00B0518F">
        <w:rPr>
          <w:b/>
          <w:bCs/>
        </w:rPr>
        <w:t>Điều 1. Giải thích từ ngữ</w:t>
      </w:r>
    </w:p>
    <w:p w14:paraId="7703501A" w14:textId="77777777" w:rsidR="00B0518F" w:rsidRPr="00B0518F" w:rsidRDefault="00B0518F" w:rsidP="006B2C83">
      <w:pPr>
        <w:jc w:val="both"/>
      </w:pPr>
      <w:r w:rsidRPr="00B0518F">
        <w:t>Các thuật ngữ được đề cập tại Thỏa thuận này bao gồm nhưng không giới hạn như dữ liệu cá nhân (“</w:t>
      </w:r>
      <w:r w:rsidRPr="00B0518F">
        <w:rPr>
          <w:b/>
          <w:bCs/>
        </w:rPr>
        <w:t>DLCN</w:t>
      </w:r>
      <w:r w:rsidRPr="00B0518F">
        <w:t>”), DLCN cơ bản, DLCN nhạy cảm, Chủ thể dữ liệu, Xử lý DLCN, Bên kiểm soát dữ liệu, Bên xử lý dữ liệu, Bên kiểm soát và xử lý dữ liệu sẽ tuân thủ theo quy định của pháp luật Việt Nam về bảo vệ dữ liệu cá nhân được chỉnh sửa, bổ sung và hướng dẫn tại từng thời điểm.</w:t>
      </w:r>
    </w:p>
    <w:p w14:paraId="5524EDEE" w14:textId="77777777" w:rsidR="00B0518F" w:rsidRPr="00B0518F" w:rsidRDefault="00B0518F" w:rsidP="006B2C83">
      <w:pPr>
        <w:jc w:val="both"/>
        <w:rPr>
          <w:b/>
          <w:bCs/>
        </w:rPr>
      </w:pPr>
      <w:r w:rsidRPr="00B0518F">
        <w:rPr>
          <w:b/>
          <w:bCs/>
        </w:rPr>
        <w:t>Điều 2. Mục đích chuyển giao dữ liệu cá nhân</w:t>
      </w:r>
    </w:p>
    <w:p w14:paraId="04C8A04D" w14:textId="77777777" w:rsidR="00B0518F" w:rsidRPr="00B0518F" w:rsidRDefault="00B0518F" w:rsidP="006B2C83">
      <w:pPr>
        <w:jc w:val="both"/>
      </w:pPr>
      <w:r w:rsidRPr="00B0518F">
        <w:t>Các Bên xác nhận và đồng ý rằng PGVN chuyển giao DLCN cho Bên Nhận Chuyển Giao để thực hiện cho một hoặc nhiều Mục Đích dưới đây:</w:t>
      </w:r>
    </w:p>
    <w:p w14:paraId="4BED72F5" w14:textId="4494A765" w:rsidR="00B0518F" w:rsidRPr="00B0518F" w:rsidRDefault="00B0518F" w:rsidP="006B2C83">
      <w:pPr>
        <w:pStyle w:val="ListParagraph"/>
        <w:numPr>
          <w:ilvl w:val="0"/>
          <w:numId w:val="1"/>
        </w:numPr>
        <w:jc w:val="both"/>
      </w:pPr>
      <w:r w:rsidRPr="00B0518F">
        <w:t>Để Bên Nhận Chuyển Giao chủ động liên hệ với người có nhu cầu nhằm tư vấn, trao đổi, đàm phán giao dịch liên quan đến tin đăng của Bên Nhận Chuyển Giao trên Nền tảng;</w:t>
      </w:r>
    </w:p>
    <w:p w14:paraId="50A85C52" w14:textId="6EFB8FC3" w:rsidR="00B0518F" w:rsidRPr="00B0518F" w:rsidRDefault="00B0518F" w:rsidP="006B2C83">
      <w:pPr>
        <w:pStyle w:val="ListParagraph"/>
        <w:numPr>
          <w:ilvl w:val="0"/>
          <w:numId w:val="1"/>
        </w:numPr>
        <w:jc w:val="both"/>
      </w:pPr>
      <w:r w:rsidRPr="00B0518F">
        <w:t>Thực hiện các quyền và nghĩa vụ theo các thỏa thuận, hợp đồng đã ký giữa PGVN và Bên Nhận Chuyển Giao;</w:t>
      </w:r>
    </w:p>
    <w:p w14:paraId="737ADAD0" w14:textId="42EE4AFE" w:rsidR="00B0518F" w:rsidRPr="00B0518F" w:rsidRDefault="00B0518F" w:rsidP="006B2C83">
      <w:pPr>
        <w:pStyle w:val="ListParagraph"/>
        <w:numPr>
          <w:ilvl w:val="0"/>
          <w:numId w:val="1"/>
        </w:numPr>
        <w:jc w:val="both"/>
      </w:pPr>
      <w:r w:rsidRPr="00B0518F">
        <w:t>Triển khai các công việc cần thiết khác để hoàn thành nội dung hợp tác giữa các Bên;</w:t>
      </w:r>
    </w:p>
    <w:p w14:paraId="18CF4226" w14:textId="622967E5" w:rsidR="006B2C83" w:rsidRDefault="00B0518F" w:rsidP="006B2C83">
      <w:pPr>
        <w:pStyle w:val="ListParagraph"/>
        <w:numPr>
          <w:ilvl w:val="0"/>
          <w:numId w:val="1"/>
        </w:numPr>
        <w:jc w:val="both"/>
      </w:pPr>
      <w:r w:rsidRPr="00B0518F">
        <w:t>Xử lý yêu cầu đối soát, khiếu nại, tranh chấp giữa các bên liên quan (nếu có);</w:t>
      </w:r>
    </w:p>
    <w:p w14:paraId="07A67B77" w14:textId="6A59F9C1" w:rsidR="00B0518F" w:rsidRPr="00B0518F" w:rsidRDefault="00B0518F" w:rsidP="006B2C83">
      <w:pPr>
        <w:pStyle w:val="ListParagraph"/>
        <w:numPr>
          <w:ilvl w:val="0"/>
          <w:numId w:val="1"/>
        </w:numPr>
        <w:jc w:val="both"/>
      </w:pPr>
      <w:r w:rsidRPr="00B0518F">
        <w:t>Các mục đích khác theo quy định của pháp luật.</w:t>
      </w:r>
    </w:p>
    <w:p w14:paraId="18DB3B88" w14:textId="77777777" w:rsidR="00B0518F" w:rsidRPr="00B0518F" w:rsidRDefault="00B0518F" w:rsidP="006B2C83">
      <w:pPr>
        <w:jc w:val="both"/>
        <w:rPr>
          <w:b/>
          <w:bCs/>
        </w:rPr>
      </w:pPr>
      <w:r w:rsidRPr="00B0518F">
        <w:rPr>
          <w:b/>
          <w:bCs/>
        </w:rPr>
        <w:t>Điều 3. Đối tượng chủ thể dữ liệu và loại dữ liệu được chuyển giao</w:t>
      </w:r>
    </w:p>
    <w:p w14:paraId="43260369" w14:textId="05455087" w:rsidR="00B0518F" w:rsidRPr="00B0518F" w:rsidRDefault="00B0518F" w:rsidP="006B2C83">
      <w:pPr>
        <w:jc w:val="both"/>
      </w:pPr>
      <w:r w:rsidRPr="00B0518F">
        <w:t>3.1.</w:t>
      </w:r>
      <w:r>
        <w:rPr>
          <w:lang w:val="vi-VN"/>
        </w:rPr>
        <w:t xml:space="preserve"> </w:t>
      </w:r>
      <w:r w:rsidRPr="00B0518F">
        <w:t>Chủ thể DLCN là người dùng, người sử dụng Nền tảng chủ động cung cấp các DLCN của chủ thể và đồng ý với Chính sách bảo mật thông tin của PGVN.</w:t>
      </w:r>
    </w:p>
    <w:p w14:paraId="39E18449" w14:textId="4F2EF574" w:rsidR="00B0518F" w:rsidRPr="00B0518F" w:rsidRDefault="00B0518F" w:rsidP="006B2C83">
      <w:pPr>
        <w:jc w:val="both"/>
      </w:pPr>
      <w:r w:rsidRPr="00B0518F">
        <w:t>3.2.</w:t>
      </w:r>
      <w:r>
        <w:rPr>
          <w:lang w:val="vi-VN"/>
        </w:rPr>
        <w:t xml:space="preserve"> </w:t>
      </w:r>
      <w:r w:rsidRPr="00B0518F">
        <w:t>Tùy từng đối tượng Chủ thể dữ liệu cụ thể và phù hợp với từng Mục Đích quy định tại Điều 2 ở trên, các loại DLCN mà các Bên có thể chuyển giao bao gồm:</w:t>
      </w:r>
    </w:p>
    <w:p w14:paraId="68A9D0CC" w14:textId="578B35A3" w:rsidR="00B0518F" w:rsidRPr="00B0518F" w:rsidRDefault="00B0518F" w:rsidP="006B2C83">
      <w:pPr>
        <w:ind w:firstLine="720"/>
        <w:jc w:val="both"/>
      </w:pPr>
      <w:r w:rsidRPr="00B0518F">
        <w:t>(i)</w:t>
      </w:r>
      <w:r>
        <w:rPr>
          <w:lang w:val="vi-VN"/>
        </w:rPr>
        <w:t xml:space="preserve"> </w:t>
      </w:r>
      <w:r w:rsidRPr="00B0518F">
        <w:t>DLCN cơ bản;</w:t>
      </w:r>
    </w:p>
    <w:p w14:paraId="2A584CF2" w14:textId="12958788" w:rsidR="00B0518F" w:rsidRPr="00B0518F" w:rsidRDefault="00B0518F" w:rsidP="006B2C83">
      <w:pPr>
        <w:ind w:firstLine="720"/>
        <w:jc w:val="both"/>
      </w:pPr>
      <w:r w:rsidRPr="00B0518F">
        <w:t>(ii)</w:t>
      </w:r>
      <w:r>
        <w:rPr>
          <w:lang w:val="vi-VN"/>
        </w:rPr>
        <w:t xml:space="preserve"> </w:t>
      </w:r>
      <w:r w:rsidRPr="00B0518F">
        <w:t>DLCN nhạy cảm.</w:t>
      </w:r>
    </w:p>
    <w:p w14:paraId="6A20AE63" w14:textId="0D7D33AB" w:rsidR="00B0518F" w:rsidRPr="00B0518F" w:rsidRDefault="00B0518F" w:rsidP="006B2C83">
      <w:pPr>
        <w:jc w:val="both"/>
      </w:pPr>
      <w:r w:rsidRPr="00B0518F">
        <w:t>3.3.</w:t>
      </w:r>
      <w:r>
        <w:rPr>
          <w:lang w:val="vi-VN"/>
        </w:rPr>
        <w:t xml:space="preserve"> </w:t>
      </w:r>
      <w:r w:rsidRPr="00B0518F">
        <w:t>DLCN được chuyển giao phù hợp với từng sản phẩm, dịch vụ tương ứng của PGVN với điều kiện bảo đảm tuân thủ các quy định của pháp luật.</w:t>
      </w:r>
    </w:p>
    <w:p w14:paraId="02CEF2B2" w14:textId="77777777" w:rsidR="00B0518F" w:rsidRPr="00B0518F" w:rsidRDefault="00B0518F" w:rsidP="006B2C83">
      <w:pPr>
        <w:jc w:val="both"/>
        <w:rPr>
          <w:b/>
          <w:bCs/>
        </w:rPr>
      </w:pPr>
      <w:r w:rsidRPr="00B0518F">
        <w:rPr>
          <w:b/>
          <w:bCs/>
        </w:rPr>
        <w:t>Điều 4. Thời hạn xử lý dữ liệu</w:t>
      </w:r>
    </w:p>
    <w:p w14:paraId="5BF136D0" w14:textId="1733D0A2" w:rsidR="00B0518F" w:rsidRPr="00B0518F" w:rsidRDefault="00B0518F" w:rsidP="006B2C83">
      <w:pPr>
        <w:jc w:val="both"/>
      </w:pPr>
      <w:r w:rsidRPr="00B0518F">
        <w:t>4.1.</w:t>
      </w:r>
      <w:r>
        <w:rPr>
          <w:lang w:val="vi-VN"/>
        </w:rPr>
        <w:t xml:space="preserve"> </w:t>
      </w:r>
      <w:r w:rsidRPr="00B0518F">
        <w:t>Bên Nhận Chuyển Giao chỉ được sử dụng DLCN trong thời gian cần thiết để phục vụ Mục Đích như quy định tại Điều 2 ở trên, trừ trường hợp các Bên có thỏa thuận khác hoặc pháp luật yêu cầu bắt buộc phải lưu trữ trong một thời hạn nhất định.</w:t>
      </w:r>
    </w:p>
    <w:p w14:paraId="11F6F9A5" w14:textId="6E6D5D9E" w:rsidR="00B0518F" w:rsidRPr="00B0518F" w:rsidRDefault="00B0518F" w:rsidP="006B2C83">
      <w:pPr>
        <w:jc w:val="both"/>
      </w:pPr>
      <w:r w:rsidRPr="00B0518F">
        <w:t>4.2.</w:t>
      </w:r>
      <w:r>
        <w:rPr>
          <w:lang w:val="vi-VN"/>
        </w:rPr>
        <w:t xml:space="preserve"> S</w:t>
      </w:r>
      <w:r w:rsidRPr="00B0518F">
        <w:t>au thời hạn trên hoặc sau khi hoàn thành mục đích chuyển giao, Bên Nhận Chuyển Giao phải xóa hoặc hủy dữ liệu hoặc ẩn danh dữ liệu theo quy định pháp luật.</w:t>
      </w:r>
    </w:p>
    <w:p w14:paraId="4AD3ED0E" w14:textId="77777777" w:rsidR="00B0518F" w:rsidRPr="00B0518F" w:rsidRDefault="00B0518F" w:rsidP="006B2C83">
      <w:pPr>
        <w:jc w:val="both"/>
        <w:rPr>
          <w:b/>
          <w:bCs/>
        </w:rPr>
      </w:pPr>
      <w:r w:rsidRPr="00B0518F">
        <w:rPr>
          <w:b/>
          <w:bCs/>
        </w:rPr>
        <w:t>Điều 5. Cơ sở pháp lý của việc chuyển giao dữ liệu</w:t>
      </w:r>
    </w:p>
    <w:p w14:paraId="3F3A222E" w14:textId="77777777" w:rsidR="00B0518F" w:rsidRPr="00B0518F" w:rsidRDefault="00B0518F" w:rsidP="006B2C83">
      <w:pPr>
        <w:jc w:val="both"/>
      </w:pPr>
      <w:r w:rsidRPr="00B0518F">
        <w:t xml:space="preserve">Việc chuyển giao DLCN theo Thỏa Thuận này được thực hiện trên cơ sở có được sự </w:t>
      </w:r>
      <w:r w:rsidRPr="00B0518F">
        <w:rPr>
          <w:b/>
          <w:bCs/>
        </w:rPr>
        <w:t>đồng ý rõ ràng, tự nguyện</w:t>
      </w:r>
      <w:r w:rsidRPr="00B0518F">
        <w:t xml:space="preserve"> của chủ thể dữ liệu khi cung cấp thông tin trên Nền tảng phù hợp với mục đích đã được thông báo cho chủ thể dữ liệu và tuân thủ các quy định liên quan của pháp luật Việt Nam.</w:t>
      </w:r>
    </w:p>
    <w:p w14:paraId="343E0E5C" w14:textId="77777777" w:rsidR="00B0518F" w:rsidRPr="00B0518F" w:rsidRDefault="00B0518F" w:rsidP="006B2C83">
      <w:pPr>
        <w:jc w:val="both"/>
        <w:rPr>
          <w:b/>
          <w:bCs/>
        </w:rPr>
      </w:pPr>
      <w:r w:rsidRPr="00B0518F">
        <w:rPr>
          <w:b/>
          <w:bCs/>
        </w:rPr>
        <w:t>Điều 6. Trách nhiệm bảo vệ dữ liệu</w:t>
      </w:r>
    </w:p>
    <w:p w14:paraId="2F80AB74" w14:textId="74AD7087" w:rsidR="00B0518F" w:rsidRPr="00B0518F" w:rsidRDefault="00B0518F" w:rsidP="006B2C83">
      <w:pPr>
        <w:jc w:val="both"/>
      </w:pPr>
      <w:r w:rsidRPr="00B0518F">
        <w:t>6.1.</w:t>
      </w:r>
      <w:r>
        <w:rPr>
          <w:lang w:val="vi-VN"/>
        </w:rPr>
        <w:t xml:space="preserve"> </w:t>
      </w:r>
      <w:r w:rsidRPr="00B0518F">
        <w:t>PGVN có trách nhiệm đảm bảo đã thông báo đầy đủ và thu thập sự đồng ý hợp lệ của chủ thể dữ liệu, đồng thời áp dụng biện pháp kỹ thuật cần thiết để bảo vệ DLCN theo quy định của pháp luật.</w:t>
      </w:r>
    </w:p>
    <w:p w14:paraId="4D94AAA1" w14:textId="3CC2EE3E" w:rsidR="00B0518F" w:rsidRPr="00B0518F" w:rsidRDefault="00B0518F" w:rsidP="006B2C83">
      <w:pPr>
        <w:jc w:val="both"/>
      </w:pPr>
      <w:r w:rsidRPr="00B0518F">
        <w:t>6.2.</w:t>
      </w:r>
      <w:r>
        <w:rPr>
          <w:lang w:val="vi-VN"/>
        </w:rPr>
        <w:t xml:space="preserve"> </w:t>
      </w:r>
      <w:r w:rsidRPr="00B0518F">
        <w:t>Bên Nhận Chuyển Giao có các trách nhiệm sau:</w:t>
      </w:r>
    </w:p>
    <w:p w14:paraId="7413C8E0" w14:textId="1D3A9C77" w:rsidR="00B0518F" w:rsidRPr="00B0518F" w:rsidRDefault="00B0518F" w:rsidP="006B2C83">
      <w:pPr>
        <w:jc w:val="both"/>
      </w:pPr>
      <w:r w:rsidRPr="00B0518F">
        <w:t>a.</w:t>
      </w:r>
      <w:r>
        <w:rPr>
          <w:lang w:val="vi-VN"/>
        </w:rPr>
        <w:t xml:space="preserve"> </w:t>
      </w:r>
      <w:r w:rsidRPr="00B0518F">
        <w:t>Cam kết chỉ sử dụng DLCN theo đúng các Mục Đích quy định tại Thỏa Thuận này;</w:t>
      </w:r>
    </w:p>
    <w:p w14:paraId="5BC668DF" w14:textId="6C912FD5" w:rsidR="00B0518F" w:rsidRPr="00B0518F" w:rsidRDefault="00B0518F" w:rsidP="006B2C83">
      <w:pPr>
        <w:jc w:val="both"/>
      </w:pPr>
      <w:r w:rsidRPr="00B0518F">
        <w:t>b.</w:t>
      </w:r>
      <w:r>
        <w:rPr>
          <w:lang w:val="vi-VN"/>
        </w:rPr>
        <w:t xml:space="preserve"> </w:t>
      </w:r>
      <w:r w:rsidRPr="00B0518F">
        <w:t>Không tiết lộ, chia sẻ, chuyển giao lại hoặc thực hiện bất kỳ hành vi tương tự nào khác cho bên thứ ba nếu không có sự đồng ý của chủ thể dữ liệu, trừ trường theo yêu cầu của pháp luật;</w:t>
      </w:r>
    </w:p>
    <w:p w14:paraId="7D8697A1" w14:textId="18E4FDD6" w:rsidR="00B0518F" w:rsidRPr="00B0518F" w:rsidRDefault="00B0518F" w:rsidP="006B2C83">
      <w:pPr>
        <w:jc w:val="both"/>
      </w:pPr>
      <w:r w:rsidRPr="00B0518F">
        <w:t>c.</w:t>
      </w:r>
      <w:r>
        <w:rPr>
          <w:lang w:val="vi-VN"/>
        </w:rPr>
        <w:t xml:space="preserve"> </w:t>
      </w:r>
      <w:r w:rsidRPr="00B0518F">
        <w:t>Áp dụng biện pháp bảo mật phù hợp để tránh rò rỉ, mất mát dữ liệu; và</w:t>
      </w:r>
    </w:p>
    <w:p w14:paraId="0BFC501F" w14:textId="18AA1428" w:rsidR="00B0518F" w:rsidRPr="00B0518F" w:rsidRDefault="00B0518F" w:rsidP="006B2C83">
      <w:pPr>
        <w:jc w:val="both"/>
      </w:pPr>
      <w:r w:rsidRPr="00B0518F">
        <w:t>d.</w:t>
      </w:r>
      <w:r w:rsidR="006B2C83">
        <w:t xml:space="preserve"> </w:t>
      </w:r>
      <w:r w:rsidRPr="00B0518F">
        <w:t>Hoàn toàn tự chịu trách nhiệm nếu xảy ra vi phạm do lỗi của Bên Nhận Chuyển Giao.</w:t>
      </w:r>
    </w:p>
    <w:p w14:paraId="699A783F" w14:textId="77777777" w:rsidR="00B0518F" w:rsidRPr="00B0518F" w:rsidRDefault="00B0518F" w:rsidP="006B2C83">
      <w:pPr>
        <w:jc w:val="both"/>
        <w:rPr>
          <w:b/>
          <w:bCs/>
        </w:rPr>
      </w:pPr>
      <w:r w:rsidRPr="00B0518F">
        <w:rPr>
          <w:b/>
          <w:bCs/>
        </w:rPr>
        <w:t>Điều 7. Trách nhiệm thực hiện các quyền của chủ thể dữ liệu</w:t>
      </w:r>
    </w:p>
    <w:p w14:paraId="4056F1A3" w14:textId="7D022DD3" w:rsidR="00B0518F" w:rsidRPr="00B0518F" w:rsidRDefault="00B0518F" w:rsidP="006B2C83">
      <w:pPr>
        <w:jc w:val="both"/>
      </w:pPr>
      <w:r w:rsidRPr="00B0518F">
        <w:t>7.1.</w:t>
      </w:r>
      <w:r>
        <w:rPr>
          <w:lang w:val="vi-VN"/>
        </w:rPr>
        <w:t xml:space="preserve"> </w:t>
      </w:r>
      <w:r w:rsidRPr="00B0518F">
        <w:t>Các Bên có trách nhiệm phối hợp kịp thời với nhau và cam kết bảo đảm việc thực hiện đầy đủ các quyền của chủ thể dữ liệu theo quy định của pháp luật.</w:t>
      </w:r>
    </w:p>
    <w:p w14:paraId="01B60163" w14:textId="6BD9FFEE" w:rsidR="00B0518F" w:rsidRPr="00B0518F" w:rsidRDefault="00B0518F" w:rsidP="006B2C83">
      <w:pPr>
        <w:jc w:val="both"/>
      </w:pPr>
      <w:r w:rsidRPr="00B0518F">
        <w:t>7.2.</w:t>
      </w:r>
      <w:r>
        <w:rPr>
          <w:lang w:val="vi-VN"/>
        </w:rPr>
        <w:t xml:space="preserve"> </w:t>
      </w:r>
      <w:r w:rsidRPr="00B0518F">
        <w:t>Mỗi bên đều sẽ có trách nhiệm tiếp nhận và xử lý các yêu cầu của chủ thể dữ liệu trừ trường hợp các Bên có thỏa thuận khác bằng văn bản hoặc pháp luật có quy định khác.</w:t>
      </w:r>
    </w:p>
    <w:p w14:paraId="7CF932AD" w14:textId="104F2034" w:rsidR="00B0518F" w:rsidRPr="00B0518F" w:rsidRDefault="00B0518F" w:rsidP="006B2C83">
      <w:pPr>
        <w:jc w:val="both"/>
      </w:pPr>
      <w:r w:rsidRPr="00B0518F">
        <w:t>7.3.</w:t>
      </w:r>
      <w:r>
        <w:rPr>
          <w:lang w:val="vi-VN"/>
        </w:rPr>
        <w:t xml:space="preserve"> </w:t>
      </w:r>
      <w:r w:rsidRPr="00B0518F">
        <w:t>Mỗi Bên chịu trách nhiệm trong phạm vi vai trò pháp lý của mình. Bên vi phạm nghĩa vụ làm ảnh hưởng đến việc thực hiện quyền của chủ thể dữ liệu phải chịu trách nhiệm trước pháp luật và bồi thường thiệt hại phát sinh (nếu có).</w:t>
      </w:r>
    </w:p>
    <w:p w14:paraId="7F1A01FE" w14:textId="77777777" w:rsidR="00B0518F" w:rsidRPr="00B0518F" w:rsidRDefault="00B0518F" w:rsidP="006B2C83">
      <w:pPr>
        <w:jc w:val="both"/>
        <w:rPr>
          <w:b/>
          <w:bCs/>
        </w:rPr>
      </w:pPr>
      <w:r w:rsidRPr="00B0518F">
        <w:rPr>
          <w:b/>
          <w:bCs/>
        </w:rPr>
        <w:t>Điều 8. Trách nhiệm phối hợp và xử lý vi phạm</w:t>
      </w:r>
    </w:p>
    <w:p w14:paraId="4CC3C39F" w14:textId="1445F63B" w:rsidR="00B0518F" w:rsidRPr="00B0518F" w:rsidRDefault="00B0518F" w:rsidP="006B2C83">
      <w:pPr>
        <w:jc w:val="both"/>
      </w:pPr>
      <w:r w:rsidRPr="00B0518F">
        <w:t>8.1.</w:t>
      </w:r>
      <w:r>
        <w:rPr>
          <w:lang w:val="vi-VN"/>
        </w:rPr>
        <w:t xml:space="preserve"> </w:t>
      </w:r>
      <w:r w:rsidRPr="00B0518F">
        <w:t>Khi phát hiện hoặc có căn cứ cho rằng đã xảy ra vi phạm quy định bảo vệ DLCN hoặc sự cố liên quan đến DLCN thuộc phạm vi Thỏa thuận này, Bên phát hiện phải thông báo cho Bên còn lại ngay khi có thể để phối hợp xử lý.</w:t>
      </w:r>
    </w:p>
    <w:p w14:paraId="3259FEEC" w14:textId="3FDFE642" w:rsidR="00B0518F" w:rsidRPr="00B0518F" w:rsidRDefault="00B0518F" w:rsidP="006B2C83">
      <w:pPr>
        <w:jc w:val="both"/>
      </w:pPr>
      <w:r w:rsidRPr="00B0518F">
        <w:t>8.2.</w:t>
      </w:r>
      <w:r>
        <w:rPr>
          <w:lang w:val="vi-VN"/>
        </w:rPr>
        <w:t xml:space="preserve"> </w:t>
      </w:r>
      <w:r w:rsidRPr="00B0518F">
        <w:t>Các Bên có trách nhiệm phối hợp kịp thời để xác minh sự việc; ngăn chặn, kiểm soát và khắc phục hậu quả; bảo vệ quyền, lợi ích hợp pháp của chủ thể dữ liệu; thu thập, lưu giữ hồ sơ, chứng cứ liên quan; và thực hiện các biện pháp cần thiết để phòng ngừa tái diễn.</w:t>
      </w:r>
    </w:p>
    <w:p w14:paraId="1B814A4C" w14:textId="5DC91D1C" w:rsidR="00B0518F" w:rsidRPr="00B0518F" w:rsidRDefault="00B0518F" w:rsidP="006B2C83">
      <w:pPr>
        <w:jc w:val="both"/>
      </w:pPr>
      <w:r w:rsidRPr="00B0518F">
        <w:t>8.3.</w:t>
      </w:r>
      <w:r>
        <w:rPr>
          <w:lang w:val="vi-VN"/>
        </w:rPr>
        <w:t xml:space="preserve"> </w:t>
      </w:r>
      <w:r w:rsidRPr="00B0518F">
        <w:t>Mỗi Bên có trách nhiệm thực hiện đầy đủ nghĩa vụ báo cáo, thông báo, giải trình và phối hợp với cơ quan nhà nước có thẩm quyền trong phạm vi vai trò pháp lý của mình theo quy định của pháp luật về bảo vệ DLCN.</w:t>
      </w:r>
    </w:p>
    <w:p w14:paraId="4A0C084C" w14:textId="77777777" w:rsidR="00B0518F" w:rsidRPr="00B0518F" w:rsidRDefault="00B0518F" w:rsidP="006B2C83">
      <w:pPr>
        <w:jc w:val="both"/>
      </w:pPr>
      <w:r w:rsidRPr="00B0518F">
        <w:rPr>
          <w:b/>
          <w:bCs/>
          <w:i/>
          <w:iCs/>
        </w:rPr>
        <w:t>Hai bên thống nhất rằng Thỏa Thuận này được xác lập dưới hình thức điện tử thông qua việc Bên Nhận Chuyển Giao thực hiện thao tác xác nhận trên Nền tảng, có giá trị pháp lý tương đương ký tay, có hiệu lực ràng buộc kể từ thời điểm xác nhận và được lưu trữ trên hệ thống của PGVN, đồng thời, các dữ liệu điện tử và nhật ký hệ thống sẽ là chứng cứ hợp lệ, và các bên cam kết không tranh chấp về giá trị pháp lý của hình thức giao kết này.</w:t>
      </w:r>
    </w:p>
    <w:p w14:paraId="55DEF9A8" w14:textId="77777777" w:rsidR="00D5151C" w:rsidRDefault="00D5151C" w:rsidP="006B2C83">
      <w:pPr>
        <w:jc w:val="both"/>
      </w:pPr>
    </w:p>
    <w:sectPr w:rsidR="00D5151C" w:rsidSect="006B2C8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E44"/>
    <w:multiLevelType w:val="hybridMultilevel"/>
    <w:tmpl w:val="845AD8D0"/>
    <w:lvl w:ilvl="0" w:tplc="EAC642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52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FE"/>
    <w:rsid w:val="0006242B"/>
    <w:rsid w:val="0014382A"/>
    <w:rsid w:val="001B70FE"/>
    <w:rsid w:val="001E350D"/>
    <w:rsid w:val="006B2C83"/>
    <w:rsid w:val="00903F8C"/>
    <w:rsid w:val="00B0518F"/>
    <w:rsid w:val="00D478A6"/>
    <w:rsid w:val="00D5151C"/>
    <w:rsid w:val="00DE6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69C3EA"/>
  <w15:chartTrackingRefBased/>
  <w15:docId w15:val="{F28B7C1B-2A70-40E3-971D-25308668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0F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B70F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B70F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B7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0F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B70F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B70F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B7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0FE"/>
    <w:rPr>
      <w:rFonts w:eastAsiaTheme="majorEastAsia" w:cstheme="majorBidi"/>
      <w:color w:val="272727" w:themeColor="text1" w:themeTint="D8"/>
    </w:rPr>
  </w:style>
  <w:style w:type="paragraph" w:styleId="Title">
    <w:name w:val="Title"/>
    <w:basedOn w:val="Normal"/>
    <w:next w:val="Normal"/>
    <w:link w:val="TitleChar"/>
    <w:uiPriority w:val="10"/>
    <w:qFormat/>
    <w:rsid w:val="001B70F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B70F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B70F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B70F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B70FE"/>
    <w:pPr>
      <w:spacing w:before="160"/>
      <w:jc w:val="center"/>
    </w:pPr>
    <w:rPr>
      <w:i/>
      <w:iCs/>
      <w:color w:val="404040" w:themeColor="text1" w:themeTint="BF"/>
    </w:rPr>
  </w:style>
  <w:style w:type="character" w:customStyle="1" w:styleId="QuoteChar">
    <w:name w:val="Quote Char"/>
    <w:basedOn w:val="DefaultParagraphFont"/>
    <w:link w:val="Quote"/>
    <w:uiPriority w:val="29"/>
    <w:rsid w:val="001B70FE"/>
    <w:rPr>
      <w:i/>
      <w:iCs/>
      <w:color w:val="404040" w:themeColor="text1" w:themeTint="BF"/>
    </w:rPr>
  </w:style>
  <w:style w:type="paragraph" w:styleId="ListParagraph">
    <w:name w:val="List Paragraph"/>
    <w:basedOn w:val="Normal"/>
    <w:uiPriority w:val="34"/>
    <w:qFormat/>
    <w:rsid w:val="001B70FE"/>
    <w:pPr>
      <w:ind w:left="720"/>
      <w:contextualSpacing/>
    </w:pPr>
  </w:style>
  <w:style w:type="character" w:styleId="IntenseEmphasis">
    <w:name w:val="Intense Emphasis"/>
    <w:basedOn w:val="DefaultParagraphFont"/>
    <w:uiPriority w:val="21"/>
    <w:qFormat/>
    <w:rsid w:val="001B70FE"/>
    <w:rPr>
      <w:i/>
      <w:iCs/>
      <w:color w:val="0F4761" w:themeColor="accent1" w:themeShade="BF"/>
    </w:rPr>
  </w:style>
  <w:style w:type="paragraph" w:styleId="IntenseQuote">
    <w:name w:val="Intense Quote"/>
    <w:basedOn w:val="Normal"/>
    <w:next w:val="Normal"/>
    <w:link w:val="IntenseQuoteChar"/>
    <w:uiPriority w:val="30"/>
    <w:qFormat/>
    <w:rsid w:val="001B7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0FE"/>
    <w:rPr>
      <w:i/>
      <w:iCs/>
      <w:color w:val="0F4761" w:themeColor="accent1" w:themeShade="BF"/>
    </w:rPr>
  </w:style>
  <w:style w:type="character" w:styleId="IntenseReference">
    <w:name w:val="Intense Reference"/>
    <w:basedOn w:val="DefaultParagraphFont"/>
    <w:uiPriority w:val="32"/>
    <w:qFormat/>
    <w:rsid w:val="001B7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00B326A9CE949AE8B4A2D6773D509" ma:contentTypeVersion="17" ma:contentTypeDescription="Create a new document." ma:contentTypeScope="" ma:versionID="f40cea67904c1fe2ea23f107f8183760">
  <xsd:schema xmlns:xsd="http://www.w3.org/2001/XMLSchema" xmlns:xs="http://www.w3.org/2001/XMLSchema" xmlns:p="http://schemas.microsoft.com/office/2006/metadata/properties" xmlns:ns2="a4b711c8-36d6-4a6b-8be1-401554792e57" xmlns:ns3="aac85f40-196b-4eaf-b011-e976a312c8b0" targetNamespace="http://schemas.microsoft.com/office/2006/metadata/properties" ma:root="true" ma:fieldsID="e2adbec1ff63fabf6dcac4d2af186b7a" ns2:_="" ns3:_="">
    <xsd:import namespace="a4b711c8-36d6-4a6b-8be1-401554792e57"/>
    <xsd:import namespace="aac85f40-196b-4eaf-b011-e976a312c8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11c8-36d6-4a6b-8be1-401554792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4360c3-13ce-4eb9-8a8d-60cb472dbb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85f40-196b-4eaf-b011-e976a312c8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f2d804-6504-4681-a303-ba1e2a03f12d}" ma:internalName="TaxCatchAll" ma:showField="CatchAllData" ma:web="aac85f40-196b-4eaf-b011-e976a312c8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c85f40-196b-4eaf-b011-e976a312c8b0" xsi:nil="true"/>
    <lcf76f155ced4ddcb4097134ff3c332f xmlns="a4b711c8-36d6-4a6b-8be1-401554792e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F49350-2EDE-49B5-B0FB-C8853680F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11c8-36d6-4a6b-8be1-401554792e57"/>
    <ds:schemaRef ds:uri="aac85f40-196b-4eaf-b011-e976a312c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6ABFD-C038-4B9F-8A9B-150C4763F66E}">
  <ds:schemaRefs>
    <ds:schemaRef ds:uri="http://schemas.microsoft.com/sharepoint/v3/contenttype/forms"/>
  </ds:schemaRefs>
</ds:datastoreItem>
</file>

<file path=customXml/itemProps3.xml><?xml version="1.0" encoding="utf-8"?>
<ds:datastoreItem xmlns:ds="http://schemas.openxmlformats.org/officeDocument/2006/customXml" ds:itemID="{6A019380-917B-489C-9C7F-73F180B05076}">
  <ds:schemaRefs>
    <ds:schemaRef ds:uri="http://schemas.microsoft.com/office/2006/metadata/properties"/>
    <ds:schemaRef ds:uri="http://schemas.microsoft.com/office/infopath/2007/PartnerControls"/>
    <ds:schemaRef ds:uri="aac85f40-196b-4eaf-b011-e976a312c8b0"/>
    <ds:schemaRef ds:uri="a4b711c8-36d6-4a6b-8be1-401554792e57"/>
  </ds:schemaRefs>
</ds:datastoreItem>
</file>

<file path=docMetadata/LabelInfo.xml><?xml version="1.0" encoding="utf-8"?>
<clbl:labelList xmlns:clbl="http://schemas.microsoft.com/office/2020/mipLabelMetadata">
  <clbl:label id="{a362abce-50f1-49ce-8574-941a4394e892}" enabled="0" method="" siteId="{a362abce-50f1-49ce-8574-941a4394e89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Yến</dc:creator>
  <cp:keywords/>
  <dc:description/>
  <cp:lastModifiedBy>Trần Thị Thu Hiền</cp:lastModifiedBy>
  <cp:revision>3</cp:revision>
  <dcterms:created xsi:type="dcterms:W3CDTF">2026-05-14T07:40:00Z</dcterms:created>
  <dcterms:modified xsi:type="dcterms:W3CDTF">2026-05-14T08:29:00Z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0x010100E2F00B326A9CE949AE8B4A2D6773D509</vt:lpwstr>
  </property>
</Properties>
</file>