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Archivo-bold.ttf" ContentType="application/x-font-ttf"/>
  <Override PartName="/word/fonts/Archivo-boldItalic.ttf" ContentType="application/x-font-ttf"/>
  <Override PartName="/word/fonts/Archivo-italic.ttf" ContentType="application/x-font-ttf"/>
  <Override PartName="/word/fonts/Archivo-regular.ttf" ContentType="application/x-font-ttf"/>
  <Override PartName="/word/fonts/NotoSans-bold.ttf" ContentType="application/x-font-ttf"/>
  <Override PartName="/word/fonts/NotoSans-boldItalic.ttf" ContentType="application/x-font-ttf"/>
  <Override PartName="/word/fonts/NotoSans-italic.ttf" ContentType="application/x-font-ttf"/>
  <Override PartName="/word/fonts/NotoSans-regular.ttf" ContentType="application/x-font-ttf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>
      <w:pPr>
        <w:pStyle w:val="Title"/>
        <w:spacing w:after="80" w:line="240" w:lineRule="auto"/>
      </w:pPr>
      <w:r>
        <w:rPr>
          <w:sz w:val="60"/>
        </w:rPr>
        <w:t>Ten skills for Polarity</w:t>
      </w:r>
    </w:p>
    <w:p>
      <w:pPr>
        <w:pStyle w:val="Subtitle"/>
        <w:spacing w:after="160" w:line="240" w:lineRule="auto"/>
      </w:pPr>
      <w:r>
        <w:t>Analyst workflows for Claude, built on the Polarity integrations you already run</w:t>
      </w:r>
    </w:p>
    <w:p>
      <w:pPr>
        <w:spacing w:after="80" w:line="240" w:lineRule="auto"/>
      </w:pPr>
      <w:r>
        <w:t>Your analysts already have the intel — it's just spread across 90+ integrations checked one at a time. These ten skills turn that sprawl into a single conversation: point Claude at a suspicious email, a CVE list, or an account, and it enriches, correlates, and hands back a scored verdict. No new infrastructure — every skill runs on Polarity integrations already deployed.</w:t>
      </w:r>
    </w:p>
    <w:p>
      <w:pPr>
        <w:pStyle w:val="Heading2"/>
        <w:spacing w:before="120" w:after="40" w:line="240" w:lineRule="auto"/>
      </w:pPr>
      <w:r>
        <w:t>Triage &amp; response</w:t>
      </w:r>
    </w:p>
    <w:tbl>
      <w:tblPr>
        <w:tblStyle w:val="Table1"/>
        <w:tblW w:type="auto" w:w="0"/>
        <w:tblLook w:firstColumn="1" w:firstRow="1" w:lastColumn="0" w:lastRow="0" w:noHBand="0" w:noVBand="1" w:val="04A0"/>
      </w:tblPr>
      <w:tblGrid>
        <w:gridCol w:w="4680"/>
        <w:gridCol w:w="4680"/>
      </w:tblGrid>
      <w:tr>
        <w:trPr>
          <w:trHeight w:val="150" w:hRule="atLeast"/>
        </w:trPr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Skill</w:t>
            </w:r>
          </w:p>
        </w:tc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What it does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Phishing email triage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Scores a reported email from sender, header, link, and attachment enrichment; drafts a quarantine note.</w:t>
            </w:r>
          </w:p>
        </w:tc>
      </w:tr>
      <w:tr>
        <w:trPr>
          <w:trHeight w:val="150" w:hRule="atLeast"/>
        </w:trPr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Vulnerability prioritization</w:t>
            </w:r>
          </w:p>
        </w:tc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Ranks CVEs by real exposure — Spotlight, ORCA, internal scans — not just CVSS.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Identity compromise check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Fans one account across Okta, Entra, HIBP, and EDR to answer “is this person compromised.”</w:t>
            </w:r>
          </w:p>
        </w:tc>
      </w:tr>
      <w:tr>
        <w:trPr>
          <w:trHeight w:val="150" w:hRule="atLeast"/>
        </w:trPr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IOC bulk submission</w:t>
            </w:r>
          </w:p>
        </w:tc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Confirms and pushes validated indicators to MISP/OpenCTI/ThreatStream-style platforms in one batch.</w:t>
            </w:r>
          </w:p>
        </w:tc>
      </w:tr>
    </w:tbl>
    <w:p>
      <w:pPr>
        <w:pStyle w:val="Heading2"/>
        <w:spacing w:before="120" w:after="40" w:line="240" w:lineRule="auto"/>
      </w:pPr>
      <w:r>
        <w:t>Investigation &amp; intel</w:t>
      </w:r>
    </w:p>
    <w:tbl>
      <w:tblPr>
        <w:tblStyle w:val="Table1"/>
        <w:tblW w:type="auto" w:w="0"/>
        <w:tblLook w:firstColumn="1" w:firstRow="1" w:lastColumn="0" w:lastRow="0" w:noHBand="0" w:noVBand="1" w:val="04A0"/>
      </w:tblPr>
      <w:tblGrid>
        <w:gridCol w:w="4680"/>
        <w:gridCol w:w="4680"/>
      </w:tblGrid>
      <w:tr>
        <w:trPr>
          <w:trHeight w:val="150" w:hRule="atLeast"/>
        </w:trPr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Skill</w:t>
            </w:r>
          </w:p>
        </w:tc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What it does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Asset / host investigation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Builds one host timeline from EDR, logs, inventory, and exposure data — no console-hopping.</w:t>
            </w:r>
          </w:p>
        </w:tc>
      </w:tr>
      <w:tr>
        <w:trPr>
          <w:trHeight w:val="150" w:hRule="atLeast"/>
        </w:trPr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Infrastructure pivot</w:t>
            </w:r>
          </w:p>
        </w:tc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Walks outward from one bad IP or domain through WHOIS and passive DNS to map a campaign.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Threat actor dossier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Consolidates attribution, TTPs, and recent news on a named actor into one profile.</w:t>
            </w:r>
          </w:p>
        </w:tc>
      </w:tr>
      <w:tr>
        <w:trPr>
          <w:trHeight w:val="150" w:hRule="atLeast"/>
        </w:trPr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Dark web exposure check</w:t>
            </w:r>
          </w:p>
        </w:tc>
        <w:tc>
          <w:tcPr>
            <w:tcW w:type="dxa" w:w="4680"/>
            <w:shd w:val="clear" w:color="auto" w:fill="EDEFF4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Periodic scan of a domain, exec, or brand against breach data, BRI sources, and lookalike domains.</w:t>
            </w:r>
          </w:p>
        </w:tc>
      </w:tr>
    </w:tbl>
    <w:p>
      <w:pPr>
        <w:pStyle w:val="Heading2"/>
        <w:spacing w:before="120" w:after="40" w:line="240" w:lineRule="auto"/>
      </w:pPr>
      <w:r>
        <w:t>Reporting &amp; operations</w:t>
      </w:r>
    </w:p>
    <w:tbl>
      <w:tblPr>
        <w:tblStyle w:val="Table1"/>
        <w:tblW w:type="auto" w:w="0"/>
        <w:tblLook w:firstColumn="1" w:firstRow="1" w:lastColumn="0" w:lastRow="0" w:noHBand="0" w:noVBand="1" w:val="04A0"/>
      </w:tblPr>
      <w:tblGrid>
        <w:gridCol w:w="4680"/>
        <w:gridCol w:w="4680"/>
      </w:tblGrid>
      <w:tr>
        <w:trPr>
          <w:trHeight w:val="150" w:hRule="atLeast"/>
        </w:trPr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Skill</w:t>
            </w:r>
          </w:p>
        </w:tc>
        <w:tc>
          <w:tcPr>
            <w:tcW w:type="dxa" w:w="4680"/>
            <w:shd w:val="clear" w:color="auto" w:fill="0A1726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rFonts w:ascii="Noto Sans" w:hAnsi="Noto Sans"/>
                <w:b/>
                <w:color w:val="FFFFFF"/>
                <w:sz w:val="19"/>
              </w:rPr>
              <w:t>What it does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Shift handoff summary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Rolls up a shift's tickets and verdicts into a handoff the next analyst can act on.</w:t>
            </w:r>
          </w:p>
        </w:tc>
      </w:tr>
      <w:tr>
        <w:trPr>
          <w:trHeight w:val="150" w:hRule="atLeast"/>
        </w:trPr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Executive briefing generator</w:t>
            </w:r>
          </w:p>
        </w:tc>
        <w:tc>
          <w:tcPr>
            <w:tcW w:type="dxa" w:w="4680"/>
            <w:tcMar>
              <w:top w:w="10" w:type="dxa"/>
              <w:bottom w:w="10" w:type="dxa"/>
              <w:left w:w="70" w:type="dxa"/>
              <w:right w:w="70" w:type="dxa"/>
            </w:tcMar>
          </w:tcPr>
          <w:p>
            <w:pPr>
              <w:spacing w:before="0" w:after="0" w:line="240" w:lineRule="auto"/>
            </w:pPr>
            <w:r>
              <w:rPr>
                <w:sz w:val="19"/>
              </w:rPr>
              <w:t>Translates a triaged incident into the plain-English framing a CISO or board reads.</w:t>
            </w:r>
          </w:p>
        </w:tc>
      </w:tr>
    </w:tbl>
    <w:p>
      <w:pPr>
        <w:pStyle w:val="Caption"/>
        <w:spacing w:before="40" w:after="0"/>
      </w:pPr>
      <w:r>
        <w:t>Each skill: parse the entity, enrich in parallel across Polarity, correlate, score, render.  Draft — pending brand review.</w:t>
      </w:r>
    </w:p>
    <w:sectPr>
      <w:headerReference r:id="rId7" w:type="default"/>
      <w:footerReference r:id="rId8" w:type="default"/>
      <w:pgSz w:h="15840" w:w="12240" w:orient="portrait"/>
      <w:pgMar w:bottom="1080" w:top="1440" w:left="1440" w:right="1440" w:header="720" w:footer="720"/>
      <w:pgNumType w:start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chiv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C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center"/>
      <w:rPr>
        <w:rFonts w:ascii="Noto Sans" w:cs="Noto Sans" w:eastAsia="Noto Sans" w:hAnsi="Noto Sans"/>
        <w:b w:val="0"/>
        <w:bCs w:val="0"/>
        <w:i w:val="0"/>
        <w:iCs w:val="0"/>
        <w:smallCaps w:val="0"/>
        <w:strike w:val="0"/>
        <w:color w:val="8b99a2"/>
        <w:sz w:val="14"/>
        <w:szCs w:val="14"/>
        <w:u w:val="none"/>
        <w:shd w:fill="auto" w:val="clear"/>
        <w:vertAlign w:val="baseline"/>
      </w:rPr>
    </w:pPr>
    <w:r w:rsidDel="00000000" w:rsidR="00000000" w:rsidRPr="00000000">
      <w:rPr>
        <w:rFonts w:ascii="Noto Sans" w:cs="Noto Sans" w:eastAsia="Noto Sans" w:hAnsi="Noto Sans"/>
        <w:b w:val="0"/>
        <w:bCs w:val="0"/>
        <w:i w:val="0"/>
        <w:iCs w:val="0"/>
        <w:smallCaps w:val="0"/>
        <w:strike w:val="0"/>
        <w:color w:val="8b99a2"/>
        <w:sz w:val="14"/>
        <w:szCs w:val="14"/>
        <w:u w:val="none"/>
        <w:shd w:fill="auto" w:val="clear"/>
        <w:vertAlign w:val="baseline"/>
        <w:rtl w:val="0"/>
      </w:rPr>
      <w:t xml:space="preserve">Dataminr® Proprietary Information. ©2026 All rights reserved.</w:t>
    </w:r>
  </w:p>
  <w:p w:rsidR="00000000" w:rsidDel="00000000" w:rsidP="00000000" w:rsidRDefault="00000000" w:rsidRPr="00000000" w14:paraId="000002C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right"/>
      <w:rPr>
        <w:color w:val="8b99a2"/>
        <w:sz w:val="14"/>
        <w:szCs w:val="14"/>
      </w:rPr>
    </w:pPr>
    <w:r w:rsidDel="00000000" w:rsidR="00000000" w:rsidRPr="00000000">
      <w:rPr>
        <w:rFonts w:ascii="Noto Sans" w:cs="Noto Sans" w:eastAsia="Noto Sans" w:hAnsi="Noto Sans"/>
        <w:b w:val="0"/>
        <w:bCs w:val="0"/>
        <w:i w:val="0"/>
        <w:iCs w:val="0"/>
        <w:smallCaps w:val="0"/>
        <w:strike w:val="0"/>
        <w:color w:val="8b99a2"/>
        <w:sz w:val="14"/>
        <w:szCs w:val="1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C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Noto Sans" w:cs="Noto Sans" w:eastAsia="Noto Sans" w:hAnsi="Noto Sans"/>
        <w:b w:val="0"/>
        <w:bCs w:val="0"/>
        <w:i w:val="0"/>
        <w:iCs w:val="0"/>
        <w:smallCaps w:val="0"/>
        <w:strike w:val="0"/>
        <w:color w:val="0a1726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8"/>
      <w:tblW w:w="9360.0" w:type="dxa"/>
      <w:jc w:val="center"/>
      <w:tblLayout w:type="fixed"/>
      <w:tblLook w:val="0400"/>
    </w:tblPr>
    <w:tblGrid>
      <w:gridCol w:w="4680"/>
      <w:gridCol w:w="4680"/>
      <w:tblGridChange w:id="0">
        <w:tblGrid>
          <w:gridCol w:w="4680"/>
          <w:gridCol w:w="4680"/>
        </w:tblGrid>
      </w:tblGridChange>
    </w:tblGrid>
    <w:tr>
      <w:trPr>
        <w:cantSplit w:val="0"/>
        <w:tblHeader w:val="0"/>
      </w:trPr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</w:tcPr>
        <w:p w:rsidR="00000000" w:rsidDel="00000000" w:rsidP="00000000" w:rsidRDefault="00000000" w:rsidRPr="00000000" w14:paraId="000002C5">
          <w:pPr>
            <w:jc w:val="left"/>
            <w:rPr/>
          </w:pPr>
          <w:r w:rsidDel="00000000" w:rsidR="00000000" w:rsidRPr="00000000">
            <w:rPr/>
            <w:drawing>
              <wp:inline distB="0" distT="0" distL="114300" distR="114300">
                <wp:extent cx="1883558" cy="274320"/>
                <wp:effectExtent b="0" l="0" r="0" t="0"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83558" cy="27432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0" w:val="nil"/>
            <w:left w:color="000000" w:space="0" w:sz="0" w:val="nil"/>
            <w:bottom w:color="000000" w:space="0" w:sz="0" w:val="nil"/>
            <w:right w:color="000000" w:space="0" w:sz="0" w:val="nil"/>
          </w:tcBorders>
        </w:tcPr>
        <w:p w:rsidR="00000000" w:rsidDel="00000000" w:rsidP="00000000" w:rsidRDefault="00000000" w:rsidRPr="00000000" w14:paraId="000002C6">
          <w:pPr>
            <w:jc w:val="right"/>
            <w:rPr/>
          </w:pPr>
          <w:r w:rsidDel="00000000" w:rsidR="00000000" w:rsidRPr="00000000">
            <w:rPr>
              <w:rFonts w:ascii="Archivo" w:cs="Archivo" w:eastAsia="Archivo" w:hAnsi="Archivo"/>
              <w:b w:val="0"/>
              <w:bCs w:val="0"/>
              <w:i w:val="0"/>
              <w:iCs w:val="0"/>
              <w:color w:val="8b99a2"/>
              <w:sz w:val="18"/>
              <w:szCs w:val="18"/>
              <w:rtl w:val="0"/>
            </w:rPr>
            <w:t xml:space="preserve">Dataminr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2C7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w="http://schemas.openxmlformats.org/wordprocessingml/2006/main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" w:hAnsi="Noto Sans"/>
      </w:rPr>
    </w:lvl>
    <w:lvl w:ilvl="1">
      <w:start w:val="1"/>
      <w:numFmt w:val="bullet"/>
      <w:lvlText w:val="◦"/>
      <w:lvlJc w:val="left"/>
      <w:pPr>
        <w:ind w:left="720" w:hanging="360"/>
      </w:pPr>
    </w:lvl>
    <w:lvl w:ilvl="2">
      <w:start w:val="1"/>
      <w:numFmt w:val="bullet"/>
      <w:lvlText w:val="▪"/>
      <w:lvlJc w:val="left"/>
      <w:pPr>
        <w:ind w:left="1080" w:hanging="360"/>
      </w:pPr>
    </w:lvl>
  </w:abstractNum>
  <w:abstractNum w:abstractNumId="2"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rPrDefault>
      <w:rPr>
        <w:rFonts w:ascii="Noto Sans" w:cs="Noto Sans" w:eastAsia="Noto Sans" w:hAnsi="Noto Sans"/>
        <w:color w:val="231F20"/>
        <w:sz w:val="22"/>
        <w:szCs w:val="22"/>
        <w:lang w:val="en-US"/>
      </w:rPr>
    </w:rPrDefault>
    <w:pPrDefault>
      <w:pPr>
        <w:spacing w:after="120" w:line="288" w:lineRule="auto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Title">
    <w:name w:val="Title"/>
    <w:basedOn w:val="Normal"/>
    <w:next w:val="Normal"/>
    <w:pPr>
      <w:spacing w:before="0" w:after="240" w:line="240" w:lineRule="auto"/>
    </w:pPr>
    <w:rPr>
      <w:rFonts w:ascii="Archivo" w:cs="Archivo" w:eastAsia="Archivo" w:hAnsi="Archivo"/>
      <w:b w:val="0"/>
      <w:bCs w:val="0"/>
      <w:color w:val="0A1726"/>
      <w:sz w:val="72"/>
      <w:szCs w:val="72"/>
    </w:rPr>
  </w:style>
  <w:style w:type="paragraph" w:styleId="Subtitle">
    <w:name w:val="Subtitle"/>
    <w:basedOn w:val="Normal"/>
    <w:next w:val="Normal"/>
    <w:pPr>
      <w:spacing w:before="0" w:after="360" w:line="288" w:lineRule="auto"/>
    </w:pPr>
    <w:rPr>
      <w:rFonts w:ascii="Noto Sans" w:cs="Noto Sans" w:eastAsia="Noto Sans" w:hAnsi="Noto Sans"/>
      <w:color w:val="6187ED"/>
      <w:sz w:val="28"/>
      <w:szCs w:val="28"/>
    </w:rPr>
  </w:style>
  <w:style w:type="paragraph" w:styleId="Heading1">
    <w:name w:val="heading 1"/>
    <w:basedOn w:val="Normal"/>
    <w:next w:val="Normal"/>
    <w:pPr>
      <w:keepNext w:val="1"/>
      <w:keepLines w:val="1"/>
      <w:spacing w:before="360" w:after="120" w:line="288" w:lineRule="auto"/>
    </w:pPr>
    <w:rPr>
      <w:rFonts w:ascii="Archivo" w:cs="Archivo" w:eastAsia="Archivo" w:hAnsi="Archivo"/>
      <w:b w:val="0"/>
      <w:bCs w:val="0"/>
      <w:color w:val="0A1726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before="280" w:after="80" w:line="288" w:lineRule="auto"/>
    </w:pPr>
    <w:rPr>
      <w:rFonts w:ascii="Noto Sans" w:cs="Noto Sans" w:eastAsia="Noto Sans" w:hAnsi="Noto Sans"/>
      <w:b w:val="0"/>
      <w:bCs w:val="0"/>
      <w:color w:val="0A1726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before="200" w:after="60" w:line="288" w:lineRule="auto"/>
    </w:pPr>
    <w:rPr>
      <w:rFonts w:ascii="Noto Sans" w:cs="Noto Sans" w:eastAsia="Noto Sans" w:hAnsi="Noto Sans"/>
      <w:b w:val="1"/>
      <w:bCs w:val="1"/>
      <w:color w:val="2D323F"/>
      <w:sz w:val="28"/>
      <w:szCs w:val="28"/>
    </w:rPr>
  </w:style>
  <w:style w:type="paragraph" w:styleId="ListBullet">
    <w:name w:val="List Bullet"/>
    <w:basedOn w:val="Normal"/>
    <w:pPr>
      <w:numPr>
        <w:ilvl w:val="0"/>
        <w:numId w:val="1"/>
      </w:numPr>
      <w:spacing w:before="40" w:after="40" w:line="288" w:lineRule="auto"/>
      <w:ind w:left="360" w:hanging="360"/>
    </w:pPr>
  </w:style>
  <w:style w:type="paragraph" w:styleId="ListNumber">
    <w:name w:val="List Number"/>
    <w:basedOn w:val="Normal"/>
    <w:pPr>
      <w:numPr>
        <w:ilvl w:val="0"/>
        <w:numId w:val="2"/>
      </w:numPr>
      <w:spacing w:before="40" w:after="40" w:line="288" w:lineRule="auto"/>
      <w:ind w:left="360" w:hanging="360"/>
    </w:pPr>
  </w:style>
  <w:style w:type="paragraph" w:styleId="Caption">
    <w:name w:val="Caption"/>
    <w:basedOn w:val="Normal"/>
    <w:next w:val="Normal"/>
    <w:pPr>
      <w:spacing w:before="60" w:after="240" w:line="240" w:lineRule="auto"/>
    </w:pPr>
    <w:rPr>
      <w:rFonts w:ascii="Noto Sans" w:cs="Noto Sans" w:eastAsia="Noto Sans" w:hAnsi="Noto Sans"/>
      <w:i w:val="1"/>
      <w:iCs w:val="1"/>
      <w:color w:val="8B99A2"/>
      <w:sz w:val="18"/>
      <w:szCs w:val="18"/>
    </w:rPr>
  </w:style>
  <w:style w:type="table" w:styleId="Table1">
    <w:basedOn w:val="TableNormal"/>
    <w:tblPr>
      <w:tblStyleRowBandSize w:val="1"/>
      <w:tblStyleColBandSize w:val="1"/>
      <w:tblCellMar>
        <w:top w:w="80" w:type="dxa"/>
        <w:left w:w="115" w:type="dxa"/>
        <w:bottom w:w="80" w:type="dxa"/>
        <w:right w:w="115" w:type="dxa"/>
      </w:tblCellMar>
    </w:tbl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Relationship Id="rId5" Type="http://schemas.openxmlformats.org/officeDocument/2006/relationships/font" Target="fonts/Archivo-regular.ttf"/><Relationship Id="rId6" Type="http://schemas.openxmlformats.org/officeDocument/2006/relationships/font" Target="fonts/Archivo-bold.ttf"/><Relationship Id="rId7" Type="http://schemas.openxmlformats.org/officeDocument/2006/relationships/font" Target="fonts/Archivo-italic.ttf"/><Relationship Id="rId8" Type="http://schemas.openxmlformats.org/officeDocument/2006/relationships/font" Target="fonts/Archivo-boldItalic.ttf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